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5855E" w14:textId="151D5C35" w:rsidR="00F526B7" w:rsidRDefault="00A51CC1">
      <w:pPr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Komunikat prasowy</w:t>
      </w:r>
    </w:p>
    <w:p w14:paraId="683A1EAB" w14:textId="77777777" w:rsidR="00F526B7" w:rsidRDefault="00F526B7">
      <w:pPr>
        <w:contextualSpacing/>
        <w:jc w:val="both"/>
        <w:rPr>
          <w:rFonts w:ascii="Calibri" w:hAnsi="Calibri"/>
          <w:sz w:val="22"/>
          <w:szCs w:val="22"/>
        </w:rPr>
      </w:pPr>
    </w:p>
    <w:p w14:paraId="18B776D1" w14:textId="4D526BED" w:rsidR="00F526B7" w:rsidRDefault="00A51CC1" w:rsidP="00653BC9">
      <w:pPr>
        <w:contextualSpacing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 xml:space="preserve">Warszawa, </w:t>
      </w:r>
      <w:r w:rsidR="00505556">
        <w:rPr>
          <w:rFonts w:ascii="Calibri" w:hAnsi="Calibri"/>
          <w:sz w:val="22"/>
          <w:szCs w:val="22"/>
        </w:rPr>
        <w:t>1</w:t>
      </w:r>
      <w:r>
        <w:rPr>
          <w:rFonts w:ascii="Calibri" w:hAnsi="Calibri"/>
          <w:sz w:val="22"/>
          <w:szCs w:val="22"/>
        </w:rPr>
        <w:t xml:space="preserve"> </w:t>
      </w:r>
      <w:r w:rsidR="00505556">
        <w:rPr>
          <w:rFonts w:ascii="Calibri" w:hAnsi="Calibri"/>
          <w:sz w:val="22"/>
          <w:szCs w:val="22"/>
        </w:rPr>
        <w:t>czerwca</w:t>
      </w:r>
      <w:r>
        <w:rPr>
          <w:rFonts w:ascii="Calibri" w:hAnsi="Calibri"/>
          <w:sz w:val="22"/>
          <w:szCs w:val="22"/>
        </w:rPr>
        <w:t xml:space="preserve"> 2020</w:t>
      </w:r>
    </w:p>
    <w:p w14:paraId="5155EA98" w14:textId="0D115333" w:rsidR="00F526B7" w:rsidRDefault="00F526B7">
      <w:pPr>
        <w:contextualSpacing/>
        <w:jc w:val="both"/>
        <w:rPr>
          <w:rFonts w:ascii="Calibri" w:hAnsi="Calibri"/>
          <w:b/>
          <w:sz w:val="34"/>
          <w:szCs w:val="34"/>
        </w:rPr>
      </w:pPr>
    </w:p>
    <w:p w14:paraId="4FD4AF86" w14:textId="2E5CDC85" w:rsidR="00653BC9" w:rsidRPr="00C11175" w:rsidRDefault="00C11175" w:rsidP="00C11175">
      <w:pPr>
        <w:contextualSpacing/>
        <w:jc w:val="center"/>
        <w:rPr>
          <w:rFonts w:ascii="Calibri" w:hAnsi="Calibri"/>
          <w:b/>
          <w:sz w:val="32"/>
          <w:szCs w:val="32"/>
        </w:rPr>
      </w:pPr>
      <w:r w:rsidRPr="00C11175">
        <w:rPr>
          <w:rFonts w:ascii="Calibri" w:hAnsi="Calibri"/>
          <w:b/>
          <w:sz w:val="32"/>
          <w:szCs w:val="32"/>
        </w:rPr>
        <w:t>Które kierunki turystyczne mają szanse zakończyć 2020 na plusie?</w:t>
      </w:r>
    </w:p>
    <w:p w14:paraId="1BE6B0A6" w14:textId="3B6F6BAE" w:rsidR="00653BC9" w:rsidRDefault="00653BC9">
      <w:pPr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3C82CE99" w14:textId="4D965C28" w:rsidR="00C11175" w:rsidRPr="00C11175" w:rsidRDefault="00C11175" w:rsidP="009B57A4">
      <w:pPr>
        <w:spacing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Od kilku miesięcy obserwujemy globalne zatrzymanie branży turystycznej. Z nieba zniknęły samoloty, hotele zmuszone są do cięć finansowych, a pracownicy sezonowi poszukują nowej pracy. Stopniowe znoszenie obostrzeń związanych z pandemią pozwala zakładać, że rozpoczynający się sezon wakacyjny ma szanse na odbicie części strat.</w:t>
      </w:r>
    </w:p>
    <w:p w14:paraId="1DA0C342" w14:textId="55AA8FC3" w:rsidR="00C11175" w:rsidRPr="00C11175" w:rsidRDefault="00C11175" w:rsidP="009B57A4">
      <w:pPr>
        <w:spacing w:line="276" w:lineRule="auto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3B8B8567" w14:textId="74247725" w:rsidR="00C11175" w:rsidRPr="00C11175" w:rsidRDefault="00C11175" w:rsidP="009B57A4">
      <w:pPr>
        <w:spacing w:line="276" w:lineRule="auto"/>
        <w:contextualSpacing/>
        <w:jc w:val="both"/>
        <w:rPr>
          <w:rFonts w:ascii="Calibri" w:hAnsi="Calibri" w:cs="Calibri"/>
          <w:bCs/>
          <w:sz w:val="22"/>
          <w:szCs w:val="22"/>
        </w:rPr>
      </w:pPr>
      <w:r w:rsidRPr="00C11175">
        <w:rPr>
          <w:rFonts w:ascii="Calibri" w:hAnsi="Calibri" w:cs="Calibri"/>
          <w:bCs/>
          <w:sz w:val="22"/>
          <w:szCs w:val="22"/>
        </w:rPr>
        <w:t>W ostatnich latach</w:t>
      </w:r>
      <w:r w:rsidR="00653BC9" w:rsidRPr="00C11175">
        <w:rPr>
          <w:rFonts w:ascii="Calibri" w:hAnsi="Calibri" w:cs="Calibri"/>
          <w:bCs/>
          <w:sz w:val="22"/>
          <w:szCs w:val="22"/>
        </w:rPr>
        <w:t xml:space="preserve"> kraje, które były atrakcyjne turystycznie, czerpały z tego pełnymi garściami. Same dochody z turystyki wynosiły aż 13% PKB Włoch i 12% Hiszpanii</w:t>
      </w:r>
      <w:r w:rsidR="0083104D" w:rsidRPr="00C11175">
        <w:rPr>
          <w:rFonts w:ascii="Calibri" w:hAnsi="Calibri" w:cs="Calibri"/>
          <w:bCs/>
          <w:sz w:val="22"/>
          <w:szCs w:val="22"/>
        </w:rPr>
        <w:t xml:space="preserve">, a napływ zagranicznych turystów pomógł zminimalizować skutek kryzysu finansowego sprzed 12 lat. </w:t>
      </w:r>
      <w:r w:rsidRPr="00C11175">
        <w:rPr>
          <w:rFonts w:ascii="Calibri" w:hAnsi="Calibri" w:cs="Calibri"/>
          <w:bCs/>
          <w:sz w:val="22"/>
          <w:szCs w:val="22"/>
        </w:rPr>
        <w:t xml:space="preserve">Popularność tanich linii lotniczych, polepszający się standard życia i relatywnie spokojna sytuacja polityczna na świecie były dodatkowymi impulsami do masowego odwiedzania dalekich zakątków. </w:t>
      </w:r>
    </w:p>
    <w:p w14:paraId="6E34A7B8" w14:textId="0773E1B6" w:rsidR="00653BC9" w:rsidRDefault="009B57A4" w:rsidP="009B57A4">
      <w:pPr>
        <w:spacing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anchor distT="0" distB="0" distL="0" distR="0" simplePos="0" relativeHeight="251659264" behindDoc="0" locked="0" layoutInCell="1" allowOverlap="1" wp14:anchorId="4D84D0E3" wp14:editId="08E4EA03">
            <wp:simplePos x="0" y="0"/>
            <wp:positionH relativeFrom="margin">
              <wp:posOffset>-48895</wp:posOffset>
            </wp:positionH>
            <wp:positionV relativeFrom="paragraph">
              <wp:posOffset>187960</wp:posOffset>
            </wp:positionV>
            <wp:extent cx="3594100" cy="2394585"/>
            <wp:effectExtent l="0" t="0" r="6350" b="5715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B87E2" w14:textId="2D63F542" w:rsidR="00C11175" w:rsidRPr="008D66B4" w:rsidRDefault="008D66B4" w:rsidP="009B57A4">
      <w:pPr>
        <w:spacing w:line="276" w:lineRule="auto"/>
        <w:contextualSpacing/>
        <w:jc w:val="both"/>
        <w:rPr>
          <w:rFonts w:ascii="Calibri" w:hAnsi="Calibri"/>
          <w:bCs/>
          <w:i/>
          <w:iCs/>
          <w:sz w:val="22"/>
          <w:szCs w:val="22"/>
        </w:rPr>
      </w:pPr>
      <w:r w:rsidRPr="000E204A">
        <w:rPr>
          <w:rFonts w:asciiTheme="minorHAnsi" w:hAnsiTheme="minorHAnsi" w:cstheme="minorHAnsi"/>
          <w:i/>
          <w:iCs/>
          <w:sz w:val="22"/>
          <w:szCs w:val="22"/>
        </w:rPr>
        <w:t>–</w:t>
      </w:r>
      <w:r w:rsidR="00C11175" w:rsidRPr="008D66B4">
        <w:rPr>
          <w:rFonts w:ascii="Calibri" w:hAnsi="Calibri"/>
          <w:bCs/>
          <w:i/>
          <w:iCs/>
          <w:sz w:val="22"/>
          <w:szCs w:val="22"/>
        </w:rPr>
        <w:t xml:space="preserve"> Nie znudziliśmy się Europą</w:t>
      </w:r>
      <w:r w:rsidR="009B57A4">
        <w:rPr>
          <w:rFonts w:ascii="Calibri" w:hAnsi="Calibri"/>
          <w:bCs/>
          <w:i/>
          <w:iCs/>
          <w:sz w:val="22"/>
          <w:szCs w:val="22"/>
        </w:rPr>
        <w:t xml:space="preserve"> ani Stanami Zjednoczonymi</w:t>
      </w:r>
      <w:r w:rsidR="00C11175" w:rsidRPr="008D66B4">
        <w:rPr>
          <w:rFonts w:ascii="Calibri" w:hAnsi="Calibri"/>
          <w:bCs/>
          <w:i/>
          <w:iCs/>
          <w:sz w:val="22"/>
          <w:szCs w:val="22"/>
        </w:rPr>
        <w:t xml:space="preserve">, ale coraz częściej możemy sobie </w:t>
      </w:r>
      <w:r w:rsidRPr="008D66B4">
        <w:rPr>
          <w:rFonts w:ascii="Calibri" w:hAnsi="Calibri"/>
          <w:bCs/>
          <w:i/>
          <w:iCs/>
          <w:sz w:val="22"/>
          <w:szCs w:val="22"/>
        </w:rPr>
        <w:t xml:space="preserve">pozwolić na dalsze </w:t>
      </w:r>
      <w:r w:rsidR="009B57A4">
        <w:rPr>
          <w:rFonts w:ascii="Calibri" w:hAnsi="Calibri"/>
          <w:bCs/>
          <w:i/>
          <w:iCs/>
          <w:sz w:val="22"/>
          <w:szCs w:val="22"/>
        </w:rPr>
        <w:t xml:space="preserve">i bardziej egzotyczne </w:t>
      </w:r>
      <w:r w:rsidRPr="008D66B4">
        <w:rPr>
          <w:rFonts w:ascii="Calibri" w:hAnsi="Calibri"/>
          <w:bCs/>
          <w:i/>
          <w:iCs/>
          <w:sz w:val="22"/>
          <w:szCs w:val="22"/>
        </w:rPr>
        <w:t xml:space="preserve">wyjazdy. Więc jeśli Wietnam lub Singapur jako pierwsze pozwolą na swobodny ruch turystów, mogą liczyć na zainteresowanie osób, które dotychczas nie myślały o takim kierunku. </w:t>
      </w:r>
      <w:r>
        <w:rPr>
          <w:rFonts w:ascii="Calibri" w:hAnsi="Calibri"/>
          <w:bCs/>
          <w:i/>
          <w:iCs/>
          <w:sz w:val="22"/>
          <w:szCs w:val="22"/>
        </w:rPr>
        <w:t xml:space="preserve">Na dłuższą metę wciąż będziemy odwiedzać kraje, które znamy lub w których czujemy się bezpiecznie. Ale ten rok rządzi się innymi zasadami, a najważniejszą jest „kto pierwszy, ten lepszy” </w:t>
      </w:r>
      <w:r w:rsidRPr="000E204A">
        <w:rPr>
          <w:rFonts w:asciiTheme="minorHAnsi" w:hAnsiTheme="minorHAnsi" w:cstheme="minorHAnsi"/>
          <w:i/>
          <w:iCs/>
          <w:sz w:val="22"/>
          <w:szCs w:val="22"/>
        </w:rPr>
        <w:t xml:space="preserve">– </w:t>
      </w:r>
      <w:r w:rsidRPr="000E204A">
        <w:rPr>
          <w:rFonts w:asciiTheme="minorHAnsi" w:hAnsiTheme="minorHAnsi" w:cstheme="minorHAnsi"/>
          <w:b/>
          <w:bCs/>
          <w:sz w:val="22"/>
          <w:szCs w:val="22"/>
        </w:rPr>
        <w:t>mówi Krzysztof Sadecki, przedsiębiorca i analityk biznesowy.</w:t>
      </w:r>
    </w:p>
    <w:p w14:paraId="252F4977" w14:textId="7CB06226" w:rsidR="0083104D" w:rsidRDefault="0083104D" w:rsidP="009B57A4">
      <w:pPr>
        <w:spacing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</w:p>
    <w:p w14:paraId="0A5111EB" w14:textId="568A4299" w:rsidR="008D66B4" w:rsidRPr="008D66B4" w:rsidRDefault="008D66B4" w:rsidP="009B57A4">
      <w:pPr>
        <w:spacing w:line="276" w:lineRule="auto"/>
        <w:contextualSpacing/>
        <w:jc w:val="both"/>
        <w:rPr>
          <w:rFonts w:ascii="Calibri" w:hAnsi="Calibri"/>
          <w:b/>
          <w:sz w:val="22"/>
          <w:szCs w:val="22"/>
        </w:rPr>
      </w:pPr>
      <w:r w:rsidRPr="008D66B4">
        <w:rPr>
          <w:rFonts w:ascii="Calibri" w:hAnsi="Calibri"/>
          <w:b/>
          <w:sz w:val="22"/>
          <w:szCs w:val="22"/>
        </w:rPr>
        <w:t>Turystyka – fanaberia, czy konieczność?</w:t>
      </w:r>
    </w:p>
    <w:p w14:paraId="6598BA90" w14:textId="335B109C" w:rsidR="0083104D" w:rsidRDefault="0083104D" w:rsidP="009B57A4">
      <w:pPr>
        <w:spacing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</w:p>
    <w:p w14:paraId="61A2CD21" w14:textId="4B18AA0A" w:rsidR="0083104D" w:rsidRDefault="008D66B4" w:rsidP="009B57A4">
      <w:pPr>
        <w:spacing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Wśród zapowiedzi politycznych wskazujących kolejne etapy zamykania, a następnie otwierania gospodarki, nie mogło zabraknąć tematu turystyki. Część krajów zdecydowała się na pomoc w </w:t>
      </w:r>
      <w:r w:rsidR="0090693B">
        <w:rPr>
          <w:rFonts w:ascii="Calibri" w:hAnsi="Calibri"/>
          <w:bCs/>
          <w:sz w:val="22"/>
          <w:szCs w:val="22"/>
        </w:rPr>
        <w:t>formie</w:t>
      </w:r>
      <w:r>
        <w:rPr>
          <w:rFonts w:ascii="Calibri" w:hAnsi="Calibri"/>
          <w:bCs/>
          <w:sz w:val="22"/>
          <w:szCs w:val="22"/>
        </w:rPr>
        <w:t xml:space="preserve"> dofinansowań i wprowadzenia ulg, co miało zminimalizować skutki </w:t>
      </w:r>
      <w:r>
        <w:rPr>
          <w:rFonts w:ascii="Calibri" w:hAnsi="Calibri"/>
          <w:bCs/>
          <w:i/>
          <w:iCs/>
          <w:sz w:val="22"/>
          <w:szCs w:val="22"/>
        </w:rPr>
        <w:t>straconego sezonu</w:t>
      </w:r>
      <w:r>
        <w:rPr>
          <w:rFonts w:ascii="Calibri" w:hAnsi="Calibri"/>
          <w:bCs/>
          <w:sz w:val="22"/>
          <w:szCs w:val="22"/>
        </w:rPr>
        <w:t>.</w:t>
      </w:r>
      <w:r w:rsidR="0090693B">
        <w:rPr>
          <w:rFonts w:ascii="Calibri" w:hAnsi="Calibri"/>
          <w:bCs/>
          <w:sz w:val="22"/>
          <w:szCs w:val="22"/>
        </w:rPr>
        <w:t xml:space="preserve"> </w:t>
      </w:r>
      <w:r>
        <w:rPr>
          <w:rFonts w:ascii="Calibri" w:hAnsi="Calibri"/>
          <w:bCs/>
          <w:sz w:val="22"/>
          <w:szCs w:val="22"/>
        </w:rPr>
        <w:t>D</w:t>
      </w:r>
      <w:r w:rsidR="0083104D">
        <w:rPr>
          <w:rFonts w:ascii="Calibri" w:hAnsi="Calibri"/>
          <w:bCs/>
          <w:sz w:val="22"/>
          <w:szCs w:val="22"/>
        </w:rPr>
        <w:t xml:space="preserve">ofinansowanie branży turystycznej to nie tylko domena krajów europejskich. Turystyczni giganci w Azji Południowo-Wschodniej, przyjmujący w ciągu roku powyżej </w:t>
      </w:r>
      <w:r w:rsidR="00530013">
        <w:rPr>
          <w:rFonts w:ascii="Calibri" w:hAnsi="Calibri"/>
          <w:bCs/>
          <w:sz w:val="22"/>
          <w:szCs w:val="22"/>
        </w:rPr>
        <w:t>2</w:t>
      </w:r>
      <w:r w:rsidR="0083104D">
        <w:rPr>
          <w:rFonts w:ascii="Calibri" w:hAnsi="Calibri"/>
          <w:bCs/>
          <w:sz w:val="22"/>
          <w:szCs w:val="22"/>
        </w:rPr>
        <w:t xml:space="preserve">5 milionów gości, również szykują się do wielkiego powrotu. </w:t>
      </w:r>
      <w:r w:rsidR="00CF298E">
        <w:rPr>
          <w:rFonts w:ascii="Calibri" w:hAnsi="Calibri"/>
          <w:bCs/>
          <w:sz w:val="22"/>
          <w:szCs w:val="22"/>
        </w:rPr>
        <w:t xml:space="preserve">Najambitniej podszedł do tego rząd Tajlandii, </w:t>
      </w:r>
      <w:r w:rsidR="00505556">
        <w:rPr>
          <w:rFonts w:ascii="Calibri" w:hAnsi="Calibri"/>
          <w:bCs/>
          <w:sz w:val="22"/>
          <w:szCs w:val="22"/>
        </w:rPr>
        <w:t>gdzie</w:t>
      </w:r>
      <w:r w:rsidR="00CF298E">
        <w:rPr>
          <w:rFonts w:ascii="Calibri" w:hAnsi="Calibri"/>
          <w:bCs/>
          <w:sz w:val="22"/>
          <w:szCs w:val="22"/>
        </w:rPr>
        <w:t xml:space="preserve"> ogłoszono uruchomienie specjalnego pakietu stymulacyjnego, który ma pomóc pracownikom sektora turystycznego przetrwać czas pandemii. </w:t>
      </w:r>
      <w:r w:rsidR="00530013">
        <w:rPr>
          <w:rFonts w:ascii="Calibri" w:hAnsi="Calibri"/>
          <w:bCs/>
          <w:sz w:val="22"/>
          <w:szCs w:val="22"/>
        </w:rPr>
        <w:t xml:space="preserve">Niewątpliwie opieka państwa będzie najważniejszą pomocą otrzymywaną przez przedstawicieli zawodów związanych z ruchem turystów. Biorąc pod uwagę niski wskaźnik legalnego </w:t>
      </w:r>
      <w:r w:rsidR="00530013">
        <w:rPr>
          <w:rFonts w:ascii="Calibri" w:hAnsi="Calibri"/>
          <w:bCs/>
          <w:sz w:val="22"/>
          <w:szCs w:val="22"/>
        </w:rPr>
        <w:lastRenderedPageBreak/>
        <w:t xml:space="preserve">zatrudnienia, </w:t>
      </w:r>
      <w:r w:rsidR="00505556">
        <w:rPr>
          <w:rFonts w:ascii="Calibri" w:hAnsi="Calibri"/>
          <w:bCs/>
          <w:sz w:val="22"/>
          <w:szCs w:val="22"/>
        </w:rPr>
        <w:t>uniemożliwiający skorzystanie z programów pomocowych</w:t>
      </w:r>
      <w:r w:rsidR="00530013">
        <w:rPr>
          <w:rFonts w:ascii="Calibri" w:hAnsi="Calibri"/>
          <w:bCs/>
          <w:sz w:val="22"/>
          <w:szCs w:val="22"/>
        </w:rPr>
        <w:t>, przywrócenie pełnego funkcjonowania sektora może okazać się ekonomiczną koniecznością.</w:t>
      </w:r>
    </w:p>
    <w:p w14:paraId="16390697" w14:textId="24BE96DD" w:rsidR="00CF298E" w:rsidRDefault="00CF298E" w:rsidP="009B57A4">
      <w:pPr>
        <w:spacing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</w:p>
    <w:p w14:paraId="3FBDDE68" w14:textId="78DDB330" w:rsidR="00CF298E" w:rsidRPr="00A17890" w:rsidRDefault="00A17890" w:rsidP="009B57A4">
      <w:pPr>
        <w:spacing w:line="276" w:lineRule="auto"/>
        <w:contextualSpacing/>
        <w:jc w:val="both"/>
        <w:rPr>
          <w:rFonts w:ascii="Calibri" w:hAnsi="Calibri"/>
          <w:b/>
          <w:sz w:val="22"/>
          <w:szCs w:val="22"/>
        </w:rPr>
      </w:pPr>
      <w:r w:rsidRPr="00A17890">
        <w:rPr>
          <w:rFonts w:ascii="Calibri" w:hAnsi="Calibri"/>
          <w:b/>
          <w:sz w:val="22"/>
          <w:szCs w:val="22"/>
        </w:rPr>
        <w:t>Kto zyska, kto straci?</w:t>
      </w:r>
    </w:p>
    <w:p w14:paraId="58D70E4D" w14:textId="77777777" w:rsidR="00A17890" w:rsidRDefault="00A17890" w:rsidP="009B57A4">
      <w:pPr>
        <w:spacing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</w:p>
    <w:p w14:paraId="62DD596F" w14:textId="358766BD" w:rsidR="0019496B" w:rsidRDefault="00CF298E" w:rsidP="009B57A4">
      <w:pPr>
        <w:spacing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Przed najpopularniejszymi krajami stoi jeszcze jedno wyzwanie – niezauważani dotychczas rywale, którzy mogą stać się czarnym koniem roku 2020. </w:t>
      </w:r>
      <w:r w:rsidR="00530013">
        <w:rPr>
          <w:rFonts w:ascii="Calibri" w:hAnsi="Calibri"/>
          <w:bCs/>
          <w:sz w:val="22"/>
          <w:szCs w:val="22"/>
        </w:rPr>
        <w:t xml:space="preserve">Podczas przestoju agencje marketingowe aktywnie działały w poszukiwaniu haseł reklamowych zachęcających do odwiedzenia nowego zakątka Ziemi. </w:t>
      </w:r>
      <w:r w:rsidR="00505556">
        <w:rPr>
          <w:rFonts w:ascii="Calibri" w:hAnsi="Calibri"/>
          <w:bCs/>
          <w:sz w:val="22"/>
          <w:szCs w:val="22"/>
        </w:rPr>
        <w:t>Swój udział mają tu linie lotnicze</w:t>
      </w:r>
      <w:r w:rsidR="00457F07">
        <w:rPr>
          <w:rFonts w:ascii="Calibri" w:hAnsi="Calibri"/>
          <w:bCs/>
          <w:sz w:val="22"/>
          <w:szCs w:val="22"/>
        </w:rPr>
        <w:t xml:space="preserve">, których utrzymanie zależy od szybkiego uruchomienia lotów. </w:t>
      </w:r>
      <w:r w:rsidR="00E9791D">
        <w:rPr>
          <w:rFonts w:ascii="Calibri" w:hAnsi="Calibri"/>
          <w:bCs/>
          <w:sz w:val="22"/>
          <w:szCs w:val="22"/>
        </w:rPr>
        <w:t>Słowenia jako jedna z pierwszych ogłosiła, że turyści będą mogli spędzić lato w Lublanie bez konieczności przechodzenia dwutygodniowej kwarantanny</w:t>
      </w:r>
      <w:r w:rsidR="00457F07">
        <w:rPr>
          <w:rFonts w:ascii="Calibri" w:hAnsi="Calibri"/>
          <w:bCs/>
          <w:sz w:val="22"/>
          <w:szCs w:val="22"/>
        </w:rPr>
        <w:t xml:space="preserve"> – dzięki czemu już może liczyć na sprzedaż pierwszych biletów i noclegów</w:t>
      </w:r>
      <w:r w:rsidR="00E9791D">
        <w:rPr>
          <w:rFonts w:ascii="Calibri" w:hAnsi="Calibri"/>
          <w:bCs/>
          <w:sz w:val="22"/>
          <w:szCs w:val="22"/>
        </w:rPr>
        <w:t xml:space="preserve">. </w:t>
      </w:r>
    </w:p>
    <w:p w14:paraId="2791940B" w14:textId="4AC1362D" w:rsidR="0019496B" w:rsidRDefault="0019496B" w:rsidP="009B57A4">
      <w:pPr>
        <w:spacing w:line="276" w:lineRule="auto"/>
        <w:contextualSpacing/>
        <w:jc w:val="both"/>
        <w:rPr>
          <w:rFonts w:ascii="Calibri" w:hAnsi="Calibri"/>
          <w:bCs/>
          <w:sz w:val="22"/>
          <w:szCs w:val="22"/>
        </w:rPr>
      </w:pPr>
    </w:p>
    <w:p w14:paraId="5FB95716" w14:textId="0B5AEF12" w:rsidR="00A51CC1" w:rsidRPr="00457F07" w:rsidRDefault="0019496B" w:rsidP="009B57A4">
      <w:pPr>
        <w:spacing w:line="276" w:lineRule="auto"/>
        <w:contextualSpacing/>
        <w:jc w:val="both"/>
        <w:rPr>
          <w:rFonts w:ascii="Calibri" w:hAnsi="Calibri"/>
          <w:bCs/>
          <w:i/>
          <w:iCs/>
          <w:sz w:val="22"/>
          <w:szCs w:val="22"/>
        </w:rPr>
      </w:pPr>
      <w:r w:rsidRPr="0019496B">
        <w:rPr>
          <w:rFonts w:ascii="Calibri" w:hAnsi="Calibri"/>
          <w:bCs/>
          <w:i/>
          <w:iCs/>
          <w:sz w:val="22"/>
          <w:szCs w:val="22"/>
        </w:rPr>
        <w:t xml:space="preserve">- Każdy chce dla siebie jak największy kawałek tortu. </w:t>
      </w:r>
      <w:r>
        <w:rPr>
          <w:rFonts w:ascii="Calibri" w:hAnsi="Calibri"/>
          <w:bCs/>
          <w:i/>
          <w:iCs/>
          <w:sz w:val="22"/>
          <w:szCs w:val="22"/>
        </w:rPr>
        <w:t>Mimo, że dla Polaków Bałkany nie są nieznanym kierunkiem, kojarzą nam się z czasami PRL i imprezami w Złotych Piaskach</w:t>
      </w:r>
      <w:r w:rsidR="00457F07">
        <w:rPr>
          <w:rFonts w:ascii="Calibri" w:hAnsi="Calibri"/>
          <w:bCs/>
          <w:i/>
          <w:iCs/>
          <w:sz w:val="22"/>
          <w:szCs w:val="22"/>
        </w:rPr>
        <w:t>, a młodszym z żeglowaniem w Chorwacji</w:t>
      </w:r>
      <w:r>
        <w:rPr>
          <w:rFonts w:ascii="Calibri" w:hAnsi="Calibri"/>
          <w:bCs/>
          <w:i/>
          <w:iCs/>
          <w:sz w:val="22"/>
          <w:szCs w:val="22"/>
        </w:rPr>
        <w:t xml:space="preserve">. A dla turystów spoza krajów dawnego bloku wschodniego Słowenia może </w:t>
      </w:r>
      <w:r w:rsidR="00C11175">
        <w:rPr>
          <w:rFonts w:ascii="Calibri" w:hAnsi="Calibri"/>
          <w:bCs/>
          <w:i/>
          <w:iCs/>
          <w:sz w:val="22"/>
          <w:szCs w:val="22"/>
        </w:rPr>
        <w:t>wiązać się</w:t>
      </w:r>
      <w:r>
        <w:rPr>
          <w:rFonts w:ascii="Calibri" w:hAnsi="Calibri"/>
          <w:bCs/>
          <w:i/>
          <w:iCs/>
          <w:sz w:val="22"/>
          <w:szCs w:val="22"/>
        </w:rPr>
        <w:t xml:space="preserve"> co najwyżej z Melanią Trump. Uruchomienie lotów, </w:t>
      </w:r>
      <w:r w:rsidR="00C11175">
        <w:rPr>
          <w:rFonts w:ascii="Calibri" w:hAnsi="Calibri"/>
          <w:bCs/>
          <w:i/>
          <w:iCs/>
          <w:sz w:val="22"/>
          <w:szCs w:val="22"/>
        </w:rPr>
        <w:t xml:space="preserve">otwarcie </w:t>
      </w:r>
      <w:r>
        <w:rPr>
          <w:rFonts w:ascii="Calibri" w:hAnsi="Calibri"/>
          <w:bCs/>
          <w:i/>
          <w:iCs/>
          <w:sz w:val="22"/>
          <w:szCs w:val="22"/>
        </w:rPr>
        <w:t>hoteli i atrakcji turystycznych może być dla nich strzałem w dziesiątkę. Wątpię, żeby w przyszłości dobili 80 milionów odwiedzin rocznie, jak Francja z całym</w:t>
      </w:r>
      <w:r w:rsidR="00C11175">
        <w:rPr>
          <w:rFonts w:ascii="Calibri" w:hAnsi="Calibri"/>
          <w:bCs/>
          <w:i/>
          <w:iCs/>
          <w:sz w:val="22"/>
          <w:szCs w:val="22"/>
        </w:rPr>
        <w:t xml:space="preserve"> swoim</w:t>
      </w:r>
      <w:r>
        <w:rPr>
          <w:rFonts w:ascii="Calibri" w:hAnsi="Calibri"/>
          <w:bCs/>
          <w:i/>
          <w:iCs/>
          <w:sz w:val="22"/>
          <w:szCs w:val="22"/>
        </w:rPr>
        <w:t xml:space="preserve"> historycznym</w:t>
      </w:r>
      <w:r w:rsidR="00C11175">
        <w:rPr>
          <w:rFonts w:ascii="Calibri" w:hAnsi="Calibri"/>
          <w:bCs/>
          <w:i/>
          <w:iCs/>
          <w:sz w:val="22"/>
          <w:szCs w:val="22"/>
        </w:rPr>
        <w:t xml:space="preserve"> i kulturowym zapleczem, ale mogą liczyć na spragnionych wyjazdów ludzi.</w:t>
      </w:r>
      <w:r w:rsidR="00457F07">
        <w:rPr>
          <w:rFonts w:ascii="Calibri" w:hAnsi="Calibri"/>
          <w:bCs/>
          <w:i/>
          <w:iCs/>
          <w:sz w:val="22"/>
          <w:szCs w:val="22"/>
        </w:rPr>
        <w:t xml:space="preserve"> W poszukiwaniu wakacji warto rozglądać się za nieoczywistymi kierunkami, które dodatkowo będą nas chciały przyciągnąć zniżkami</w:t>
      </w:r>
      <w:r w:rsidR="00C11175">
        <w:rPr>
          <w:rFonts w:ascii="Calibri" w:hAnsi="Calibri"/>
          <w:bCs/>
          <w:i/>
          <w:iCs/>
          <w:sz w:val="22"/>
          <w:szCs w:val="22"/>
        </w:rPr>
        <w:t xml:space="preserve"> </w:t>
      </w:r>
      <w:r w:rsidR="00457F07">
        <w:rPr>
          <w:rFonts w:ascii="Calibri" w:hAnsi="Calibri"/>
          <w:bCs/>
          <w:i/>
          <w:iCs/>
          <w:sz w:val="22"/>
          <w:szCs w:val="22"/>
        </w:rPr>
        <w:t xml:space="preserve">i zatrzymać na dłużej, oferując wszystko co najlepsze </w:t>
      </w:r>
      <w:r w:rsidR="000E204A" w:rsidRPr="000E204A">
        <w:rPr>
          <w:rFonts w:asciiTheme="minorHAnsi" w:hAnsiTheme="minorHAnsi" w:cstheme="minorHAnsi"/>
          <w:i/>
          <w:iCs/>
          <w:sz w:val="22"/>
          <w:szCs w:val="22"/>
        </w:rPr>
        <w:t xml:space="preserve">– </w:t>
      </w:r>
      <w:r w:rsidR="00457F07">
        <w:rPr>
          <w:rFonts w:asciiTheme="minorHAnsi" w:hAnsiTheme="minorHAnsi" w:cstheme="minorHAnsi"/>
          <w:b/>
          <w:bCs/>
          <w:sz w:val="22"/>
          <w:szCs w:val="22"/>
        </w:rPr>
        <w:t>dodaje</w:t>
      </w:r>
      <w:r w:rsidR="000E204A" w:rsidRPr="000E204A">
        <w:rPr>
          <w:rFonts w:asciiTheme="minorHAnsi" w:hAnsiTheme="minorHAnsi" w:cstheme="minorHAnsi"/>
          <w:b/>
          <w:bCs/>
          <w:sz w:val="22"/>
          <w:szCs w:val="22"/>
        </w:rPr>
        <w:t xml:space="preserve"> Krzysztof Sadecki. </w:t>
      </w:r>
    </w:p>
    <w:p w14:paraId="7C663A42" w14:textId="78D5DFB2" w:rsidR="000E204A" w:rsidRDefault="000E204A">
      <w:pPr>
        <w:contextualSpacing/>
        <w:jc w:val="both"/>
        <w:rPr>
          <w:rFonts w:ascii="Calibri" w:hAnsi="Calibri"/>
          <w:sz w:val="22"/>
          <w:szCs w:val="22"/>
        </w:rPr>
      </w:pPr>
    </w:p>
    <w:p w14:paraId="3FF3BB41" w14:textId="77777777" w:rsidR="000E204A" w:rsidRDefault="000E204A">
      <w:pPr>
        <w:contextualSpacing/>
        <w:jc w:val="both"/>
        <w:rPr>
          <w:rFonts w:ascii="Calibri" w:hAnsi="Calibri"/>
          <w:sz w:val="22"/>
          <w:szCs w:val="22"/>
        </w:rPr>
      </w:pPr>
    </w:p>
    <w:p w14:paraId="74F6A43A" w14:textId="3D060091" w:rsidR="00F526B7" w:rsidRDefault="00A51CC1">
      <w:pPr>
        <w:spacing w:after="0" w:line="240" w:lineRule="auto"/>
      </w:pPr>
      <w:r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 xml:space="preserve">Więcej informacji: Agencja Face it / </w:t>
      </w:r>
      <w:r w:rsidR="000E204A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Dorota Zadroga</w:t>
      </w:r>
      <w:r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 xml:space="preserve"> /+48</w:t>
      </w:r>
      <w:r w:rsidR="000E204A"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> 698 989 141</w:t>
      </w:r>
      <w:r>
        <w:rPr>
          <w:rFonts w:asciiTheme="minorHAnsi" w:eastAsia="Times New Roman" w:hAnsiTheme="minorHAnsi"/>
          <w:color w:val="000000"/>
          <w:sz w:val="20"/>
          <w:szCs w:val="20"/>
          <w:lang w:eastAsia="pl-PL"/>
        </w:rPr>
        <w:t xml:space="preserve">/  </w:t>
      </w:r>
      <w:r w:rsidR="000E204A" w:rsidRPr="000E204A">
        <w:rPr>
          <w:rFonts w:asciiTheme="minorHAnsi" w:hAnsiTheme="minorHAnsi" w:cstheme="minorHAnsi"/>
          <w:sz w:val="20"/>
          <w:szCs w:val="20"/>
        </w:rPr>
        <w:t>d.zadroga@agencjafaceit.pl</w:t>
      </w:r>
    </w:p>
    <w:p w14:paraId="3507487F" w14:textId="77777777" w:rsidR="00F526B7" w:rsidRDefault="00F526B7">
      <w:pPr>
        <w:spacing w:after="0" w:line="240" w:lineRule="auto"/>
        <w:rPr>
          <w:rStyle w:val="czeinternetowe"/>
          <w:rFonts w:asciiTheme="minorHAnsi" w:eastAsia="Times New Roman" w:hAnsiTheme="minorHAnsi"/>
          <w:sz w:val="20"/>
          <w:szCs w:val="20"/>
          <w:lang w:eastAsia="pl-PL"/>
        </w:rPr>
      </w:pPr>
    </w:p>
    <w:p w14:paraId="7374FAB0" w14:textId="77777777" w:rsidR="00F526B7" w:rsidRDefault="00F526B7">
      <w:pPr>
        <w:spacing w:after="0" w:line="240" w:lineRule="auto"/>
        <w:jc w:val="both"/>
        <w:rPr>
          <w:rFonts w:asciiTheme="minorHAnsi" w:eastAsia="Times New Roman" w:hAnsiTheme="minorHAnsi"/>
          <w:color w:val="000000"/>
          <w:sz w:val="18"/>
          <w:szCs w:val="18"/>
          <w:lang w:eastAsia="pl-PL"/>
        </w:rPr>
      </w:pPr>
    </w:p>
    <w:p w14:paraId="69C227DF" w14:textId="77777777" w:rsidR="00F526B7" w:rsidRDefault="00A51CC1">
      <w:pPr>
        <w:spacing w:after="0" w:line="240" w:lineRule="auto"/>
        <w:jc w:val="both"/>
      </w:pPr>
      <w:r>
        <w:rPr>
          <w:rFonts w:asciiTheme="minorHAnsi" w:eastAsia="Times New Roman" w:hAnsiTheme="minorHAnsi"/>
          <w:color w:val="000000"/>
          <w:sz w:val="18"/>
          <w:szCs w:val="18"/>
          <w:lang w:eastAsia="pl-PL"/>
        </w:rPr>
        <w:t>Krzysztof Sadecki jest przedsiębiorcą, finansistą i analitykiem biznesowym, trenerem mentalnym i publicystą - redaktorem naczelnym magazynu „Businessman Today” i autorem cyklu książek „Własny business – dlaczego tak?”. Pełni funkcję Ambasadora Dobrej Woli w Międzynarodowej Komisji Praw Człowieka oraz World Institute of Peace. Od ponad siedmiu lat prowadzi międzynarodową działalność szkoleniową, głównie na rynkach europejskich i amerykańskich. Pomaga ludziom i organizacjom osiągnąć zaplanowane cele poprzez dostarczanie narzędzi komunikacyjnych w czterech obszarach życia i biznesu, czyli sprzedaży i marketingu, samorealizacji oraz reklamy. Autor teorii innerbuilding czyli  budowy i umacniania siły psychicznej. Wielokrotnie nagradzany, w tym za wybitne osiągnięcia w dziedzinie zarządzania oraz za najpopularniejszą książkę psychologiczną roku 2018 „Poznaj Siebie” przetłumaczoną na pięć języków i „Bestseller Story Tel” w latach 2018-19. </w:t>
      </w:r>
    </w:p>
    <w:sectPr w:rsidR="00F526B7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6B7"/>
    <w:rsid w:val="00031DEF"/>
    <w:rsid w:val="000E204A"/>
    <w:rsid w:val="0019496B"/>
    <w:rsid w:val="00457F07"/>
    <w:rsid w:val="004E5213"/>
    <w:rsid w:val="00505556"/>
    <w:rsid w:val="00530013"/>
    <w:rsid w:val="00653BC9"/>
    <w:rsid w:val="006F4524"/>
    <w:rsid w:val="0083104D"/>
    <w:rsid w:val="008936B5"/>
    <w:rsid w:val="008D66B4"/>
    <w:rsid w:val="0090693B"/>
    <w:rsid w:val="009B57A4"/>
    <w:rsid w:val="00A17890"/>
    <w:rsid w:val="00A51CC1"/>
    <w:rsid w:val="00C11175"/>
    <w:rsid w:val="00CF298E"/>
    <w:rsid w:val="00E73156"/>
    <w:rsid w:val="00E9791D"/>
    <w:rsid w:val="00F5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63E4E"/>
  <w15:docId w15:val="{EE533B33-1B9A-4688-A497-EFF97DC6E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A24BBA"/>
    <w:pPr>
      <w:spacing w:after="160" w:line="259" w:lineRule="auto"/>
    </w:pPr>
    <w:rPr>
      <w:rFonts w:ascii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1827DB"/>
    <w:rPr>
      <w:color w:val="0563C1" w:themeColor="hyperlink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712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Grygielski</dc:creator>
  <dc:description/>
  <cp:lastModifiedBy>dorota.zadroga2@outlook.com</cp:lastModifiedBy>
  <cp:revision>19</cp:revision>
  <cp:lastPrinted>2020-03-23T13:16:00Z</cp:lastPrinted>
  <dcterms:created xsi:type="dcterms:W3CDTF">2020-03-23T13:16:00Z</dcterms:created>
  <dcterms:modified xsi:type="dcterms:W3CDTF">2020-06-01T07:09:00Z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